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7AE8CD76" w:rsidR="00E53DAE" w:rsidRDefault="00914164" w:rsidP="00B53A74">
      <w:pPr>
        <w:pStyle w:val="Title"/>
      </w:pPr>
      <w:r>
        <w:t>Readiness Assurance</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37930440" w14:textId="2A8ADE15" w:rsidR="004B3084" w:rsidRDefault="00650C58" w:rsidP="009373D8">
      <w:pPr>
        <w:pStyle w:val="NormalBoxed"/>
      </w:pPr>
      <w:r>
        <w:t xml:space="preserve">With this worksheet we will begin writing multiple-choice questions for you first RAP test.  At a simple level the Readiness Assurance Process is a series of multiple-choice tests. But it is so much more. It is a 5 stage process we do at the beginning of each module to focus student attention, help the prepare and finally use the power of social learning to turn that preparation into genuine readiness to begin problem solving. When we develop each RAP test, we need to step back to your Learning Outcomes and the planned 4S activities and ask ourselves the question “what is the minimum students need to know to begin problem-solving?” You need to create the questions that check on student understanding of ONLY what they need to be ready for the activities that follow. </w:t>
      </w:r>
    </w:p>
    <w:p w14:paraId="6D210089" w14:textId="77777777" w:rsidR="00650C58" w:rsidRDefault="00650C58" w:rsidP="009373D8">
      <w:pPr>
        <w:pStyle w:val="NormalBoxed"/>
      </w:pPr>
    </w:p>
    <w:p w14:paraId="7C504D68" w14:textId="40B24EFB" w:rsidR="00650C58" w:rsidRDefault="00650C58" w:rsidP="009373D8">
      <w:pPr>
        <w:pStyle w:val="NormalBoxed"/>
      </w:pPr>
      <w:r>
        <w:t xml:space="preserve">There are a few common rookie mistakes you </w:t>
      </w:r>
      <w:r w:rsidR="00884AAC">
        <w:t>should try</w:t>
      </w:r>
      <w:r>
        <w:t xml:space="preserve"> to avoid:</w:t>
      </w:r>
    </w:p>
    <w:p w14:paraId="2FB67A3B" w14:textId="77777777" w:rsidR="00650C58" w:rsidRDefault="00650C58" w:rsidP="009373D8">
      <w:pPr>
        <w:pStyle w:val="NormalBoxed"/>
      </w:pPr>
    </w:p>
    <w:p w14:paraId="5B9408C2" w14:textId="4D60A9AF" w:rsidR="00650C58" w:rsidRDefault="00884AAC" w:rsidP="00650C58">
      <w:pPr>
        <w:pStyle w:val="NormalBoxed"/>
        <w:numPr>
          <w:ilvl w:val="0"/>
          <w:numId w:val="27"/>
        </w:numPr>
      </w:pPr>
      <w:r w:rsidRPr="00884AAC">
        <w:rPr>
          <w:b/>
        </w:rPr>
        <w:t xml:space="preserve">Don’t write </w:t>
      </w:r>
      <w:r w:rsidR="00650C58" w:rsidRPr="00884AAC">
        <w:rPr>
          <w:b/>
        </w:rPr>
        <w:t>questions that are too hard</w:t>
      </w:r>
      <w:r w:rsidR="00650C58">
        <w:t xml:space="preserve"> – questions so be written at Bloom’s Remember, Understand, and Lower levels of Application. Remember this isn’t every thing they will learn, just what they need to be successful at first problem solving attempts.</w:t>
      </w:r>
    </w:p>
    <w:p w14:paraId="39BDAB02" w14:textId="118A1B41" w:rsidR="00650C58" w:rsidRDefault="00884AAC" w:rsidP="00650C58">
      <w:pPr>
        <w:pStyle w:val="NormalBoxed"/>
        <w:numPr>
          <w:ilvl w:val="0"/>
          <w:numId w:val="27"/>
        </w:numPr>
      </w:pPr>
      <w:r w:rsidRPr="00884AAC">
        <w:rPr>
          <w:b/>
        </w:rPr>
        <w:t>Don’t have</w:t>
      </w:r>
      <w:r w:rsidR="00650C58" w:rsidRPr="00884AAC">
        <w:rPr>
          <w:b/>
        </w:rPr>
        <w:t xml:space="preserve"> Readiness Assurance tests too often</w:t>
      </w:r>
      <w:r w:rsidR="00650C58">
        <w:t xml:space="preserve"> – people new to TBL often are quite enamoured with the RAP process and often ask, “why not do them every week”?  This is a mistake. You can turn the RAP process into testing rather than a way to get students ready for activities that follow.</w:t>
      </w:r>
    </w:p>
    <w:p w14:paraId="63B211D6" w14:textId="54FC39D6" w:rsidR="00884AAC" w:rsidRDefault="00884AAC" w:rsidP="00650C58">
      <w:pPr>
        <w:pStyle w:val="NormalBoxed"/>
        <w:numPr>
          <w:ilvl w:val="0"/>
          <w:numId w:val="27"/>
        </w:numPr>
      </w:pPr>
      <w:r w:rsidRPr="00884AAC">
        <w:rPr>
          <w:b/>
        </w:rPr>
        <w:t>Don’t write poor quality questions</w:t>
      </w:r>
      <w:r>
        <w:t xml:space="preserve"> – writing good multiple-choice questions is slow and time consuming. Take the time. There is nothing more uncomfortable than dashing off some poor quality questions, inflicting them on your students, and having to stand in class and deal with the aftermath. Take the time to write high-quality questions. Find a friend to serve as an editor. The irony is that the better you are at writing multiple-choice questions is it takes longer to write a question The quality of questions you create has a powerful effect on the students experience and </w:t>
      </w:r>
      <w:r w:rsidR="008F65F5">
        <w:t xml:space="preserve">if </w:t>
      </w:r>
      <w:r>
        <w:t xml:space="preserve">we get it wrong, we can quickly eroded student goodwill. Students that </w:t>
      </w:r>
      <w:r w:rsidR="008F65F5">
        <w:t>may have been</w:t>
      </w:r>
      <w:r>
        <w:t xml:space="preserve"> </w:t>
      </w:r>
      <w:r w:rsidR="008F65F5">
        <w:t>“</w:t>
      </w:r>
      <w:r>
        <w:t>game</w:t>
      </w:r>
      <w:r w:rsidR="008F65F5">
        <w:t>”</w:t>
      </w:r>
      <w:r>
        <w:t xml:space="preserve"> to try the TBL experiment with </w:t>
      </w:r>
      <w:r w:rsidR="008F65F5">
        <w:t>you</w:t>
      </w:r>
      <w:r>
        <w:t xml:space="preserve"> can become fierce </w:t>
      </w:r>
      <w:r w:rsidR="008F65F5">
        <w:t>opponents</w:t>
      </w:r>
      <w:r>
        <w:t>.</w:t>
      </w:r>
      <w:r w:rsidR="008F65F5">
        <w:t xml:space="preserve"> Don’t mistreat your students and yourself.</w:t>
      </w:r>
    </w:p>
    <w:p w14:paraId="3C40D6CC" w14:textId="77777777" w:rsidR="00563C89" w:rsidRDefault="00563C89" w:rsidP="008F65F5">
      <w:pPr>
        <w:pStyle w:val="Heading1"/>
      </w:pPr>
    </w:p>
    <w:p w14:paraId="6B43A30D" w14:textId="402656A4" w:rsidR="008F65F5" w:rsidRDefault="008F059F" w:rsidP="008F65F5">
      <w:pPr>
        <w:pStyle w:val="Heading1"/>
      </w:pPr>
      <w:r>
        <w:t>What should the RAP test cover?</w:t>
      </w:r>
    </w:p>
    <w:p w14:paraId="73770A36" w14:textId="679FAC53" w:rsidR="0097245F" w:rsidRDefault="0097245F" w:rsidP="00E07901">
      <w:pPr>
        <w:pStyle w:val="NormalBoxed"/>
        <w:ind w:left="360"/>
      </w:pPr>
      <w:r>
        <w:t>The RAP tests are the bridge between the readings and the 4S activities. You</w:t>
      </w:r>
      <w:r w:rsidR="008F65F5">
        <w:t xml:space="preserve"> will use the RAP test to connect the ideas in the readings to what the students will need for the 4S activities. It focuses student attention and prepares students for the activities that follow. </w:t>
      </w:r>
      <w:r w:rsidR="00E07901">
        <w:t>The first step is to ask</w:t>
      </w:r>
      <w:r w:rsidR="008F65F5">
        <w:t xml:space="preserve">, </w:t>
      </w:r>
      <w:r>
        <w:t>“</w:t>
      </w:r>
      <w:r w:rsidR="008F65F5">
        <w:t>what do students need to successfully begin problem-solving?</w:t>
      </w:r>
      <w:r>
        <w:t>”</w:t>
      </w:r>
      <w:r w:rsidR="008F65F5">
        <w:t xml:space="preserve">  Then </w:t>
      </w:r>
      <w:r>
        <w:t xml:space="preserve">the next step is to </w:t>
      </w:r>
      <w:r w:rsidR="008F65F5">
        <w:t>ask</w:t>
      </w:r>
      <w:r w:rsidR="00E07901">
        <w:t>,</w:t>
      </w:r>
      <w:r w:rsidR="008F65F5">
        <w:t xml:space="preserve"> “where can I find these ideas, concepts and definitions in the readings?”</w:t>
      </w:r>
      <w:r w:rsidR="00E07901">
        <w:t xml:space="preserve"> </w:t>
      </w:r>
      <w:r>
        <w:t>If we have done a good job in select</w:t>
      </w:r>
      <w:r w:rsidR="00E07901">
        <w:t>ing</w:t>
      </w:r>
      <w:r>
        <w:t xml:space="preserve"> a reading that is well matched to the 4S activities</w:t>
      </w:r>
      <w:r w:rsidR="00E07901">
        <w:t>, t</w:t>
      </w:r>
      <w:r>
        <w:t>hen you can begin reviewing the reading and select topics, concepts, definitions and examples to possible inclusion in the RAP test. Once you have your list (this list should be longer than the number of test questions you need) then it is time to review the list with the specific activities in mind. Keep asking - do student need to know ”this” now? Aim on the low side of question difficulty as you are just getting them ready to begin. Setting the question too difficult can erode student goodwill and turn the RAP test into an anxiety-provoking event. If you provoke your students this way you will often get the complaint – testing before teaching makes no sense.</w:t>
      </w:r>
    </w:p>
    <w:p w14:paraId="3A16696F" w14:textId="77777777" w:rsidR="00563C89" w:rsidRDefault="00563C89" w:rsidP="00E07901">
      <w:pPr>
        <w:pStyle w:val="NormalBoxed"/>
        <w:ind w:left="360"/>
        <w:rPr>
          <w:rStyle w:val="IntenseReference"/>
        </w:rPr>
      </w:pPr>
    </w:p>
    <w:p w14:paraId="635A48FF" w14:textId="77777777" w:rsidR="00E337F9" w:rsidRPr="00563C89" w:rsidRDefault="00E337F9" w:rsidP="00E337F9">
      <w:pPr>
        <w:pStyle w:val="NormalBoxed"/>
      </w:pPr>
    </w:p>
    <w:p w14:paraId="19AF5A59" w14:textId="77777777" w:rsidR="00E337F9" w:rsidRPr="00563C89" w:rsidRDefault="00E337F9" w:rsidP="00E337F9">
      <w:pPr>
        <w:pStyle w:val="NormalBoxed"/>
        <w:ind w:left="426"/>
        <w:rPr>
          <w:rStyle w:val="IntenseReference"/>
        </w:rPr>
      </w:pPr>
      <w:r>
        <w:rPr>
          <w:rStyle w:val="IntenseReference"/>
        </w:rPr>
        <w:lastRenderedPageBreak/>
        <w:t xml:space="preserve">MY </w:t>
      </w:r>
      <w:r w:rsidRPr="00563C89">
        <w:rPr>
          <w:rStyle w:val="IntenseReference"/>
        </w:rPr>
        <w:t>Selected Reading</w:t>
      </w:r>
      <w:r>
        <w:rPr>
          <w:rStyle w:val="IntenseReference"/>
        </w:rPr>
        <w:t>(s)</w:t>
      </w:r>
    </w:p>
    <w:p w14:paraId="7729B789" w14:textId="77777777" w:rsidR="00E337F9" w:rsidRDefault="00E337F9" w:rsidP="00E337F9">
      <w:pPr>
        <w:pStyle w:val="NormalBoxed"/>
        <w:ind w:left="426"/>
        <w:rPr>
          <w:rStyle w:val="IntenseReference"/>
        </w:rPr>
      </w:pPr>
    </w:p>
    <w:p w14:paraId="520441B5" w14:textId="6D992EDA" w:rsidR="00E337F9" w:rsidRPr="00687368" w:rsidRDefault="00687368" w:rsidP="00687368">
      <w:pPr>
        <w:pStyle w:val="NormalBoxed"/>
        <w:ind w:left="426"/>
        <w:jc w:val="both"/>
        <w:rPr>
          <w:rStyle w:val="IntenseReference"/>
          <w:rFonts w:ascii="Chalkboard SE Regular" w:hAnsi="Chalkboard SE Regular"/>
          <w:color w:val="548DD4" w:themeColor="text2" w:themeTint="99"/>
          <w:u w:val="none"/>
        </w:rPr>
      </w:pPr>
      <w:r w:rsidRPr="00687368">
        <w:rPr>
          <w:rStyle w:val="IntenseReference"/>
          <w:rFonts w:ascii="Chalkboard SE Regular" w:hAnsi="Chalkboard SE Regular"/>
          <w:color w:val="548DD4" w:themeColor="text2" w:themeTint="99"/>
          <w:u w:val="none"/>
        </w:rPr>
        <w:t>I wrote my own, as I couldn’t find and appropriate reading that was short and concise enough</w:t>
      </w:r>
      <w:r>
        <w:rPr>
          <w:rStyle w:val="IntenseReference"/>
          <w:rFonts w:ascii="Chalkboard SE Regular" w:hAnsi="Chalkboard SE Regular"/>
          <w:color w:val="548DD4" w:themeColor="text2" w:themeTint="99"/>
          <w:u w:val="none"/>
        </w:rPr>
        <w:t xml:space="preserve"> (See Attached)</w:t>
      </w:r>
    </w:p>
    <w:p w14:paraId="0859A2F6" w14:textId="77777777" w:rsidR="00E337F9" w:rsidRDefault="00E337F9" w:rsidP="00E337F9">
      <w:pPr>
        <w:pStyle w:val="NormalBoxed"/>
        <w:ind w:left="426"/>
        <w:rPr>
          <w:rStyle w:val="IntenseReference"/>
        </w:rPr>
      </w:pPr>
    </w:p>
    <w:p w14:paraId="5B42B44D" w14:textId="470E04EE" w:rsidR="00563C89" w:rsidRDefault="00563C89" w:rsidP="00E337F9">
      <w:pPr>
        <w:pStyle w:val="NormalBoxed"/>
        <w:ind w:left="426"/>
        <w:rPr>
          <w:rStyle w:val="IntenseReference"/>
        </w:rPr>
      </w:pPr>
      <w:r w:rsidRPr="00563C89">
        <w:rPr>
          <w:rStyle w:val="IntenseReference"/>
        </w:rPr>
        <w:t>Topics for possible testing</w:t>
      </w:r>
    </w:p>
    <w:p w14:paraId="7FDFEB55" w14:textId="77777777" w:rsidR="00563C89" w:rsidRDefault="00563C89" w:rsidP="00E337F9">
      <w:pPr>
        <w:pStyle w:val="NormalBoxed"/>
        <w:ind w:left="426"/>
        <w:rPr>
          <w:rStyle w:val="IntenseReference"/>
        </w:rPr>
      </w:pPr>
    </w:p>
    <w:p w14:paraId="4C542A04" w14:textId="40E6A993" w:rsidR="00563C89" w:rsidRDefault="00687368" w:rsidP="00E337F9">
      <w:pPr>
        <w:pStyle w:val="NormalBoxed"/>
        <w:ind w:left="426"/>
        <w:rPr>
          <w:rFonts w:ascii="Chalkboard SE Regular" w:hAnsi="Chalkboard SE Regular"/>
          <w:color w:val="548DD4" w:themeColor="text2" w:themeTint="99"/>
        </w:rPr>
      </w:pPr>
      <w:proofErr w:type="spellStart"/>
      <w:r w:rsidRPr="00687368">
        <w:rPr>
          <w:rFonts w:ascii="Chalkboard SE Regular" w:hAnsi="Chalkboard SE Regular"/>
          <w:color w:val="548DD4" w:themeColor="text2" w:themeTint="99"/>
        </w:rPr>
        <w:t>Vygotsky’s</w:t>
      </w:r>
      <w:proofErr w:type="spellEnd"/>
      <w:r>
        <w:rPr>
          <w:rFonts w:ascii="Chalkboard SE Regular" w:hAnsi="Chalkboard SE Regular"/>
          <w:color w:val="548DD4" w:themeColor="text2" w:themeTint="99"/>
        </w:rPr>
        <w:t xml:space="preserve"> ZPD and MKO</w:t>
      </w:r>
    </w:p>
    <w:p w14:paraId="3BA4EB61" w14:textId="29E1732F" w:rsidR="00687368" w:rsidRDefault="00687368" w:rsidP="00E337F9">
      <w:pPr>
        <w:pStyle w:val="NormalBoxed"/>
        <w:ind w:left="426"/>
        <w:rPr>
          <w:rFonts w:ascii="Chalkboard SE Regular" w:hAnsi="Chalkboard SE Regular"/>
          <w:color w:val="548DD4" w:themeColor="text2" w:themeTint="99"/>
        </w:rPr>
      </w:pPr>
      <w:r>
        <w:rPr>
          <w:rFonts w:ascii="Chalkboard SE Regular" w:hAnsi="Chalkboard SE Regular"/>
          <w:color w:val="548DD4" w:themeColor="text2" w:themeTint="99"/>
        </w:rPr>
        <w:t>Perry’s stages</w:t>
      </w:r>
    </w:p>
    <w:p w14:paraId="45797BA9" w14:textId="37DC4042" w:rsidR="00687368" w:rsidRDefault="00687368" w:rsidP="00E337F9">
      <w:pPr>
        <w:pStyle w:val="NormalBoxed"/>
        <w:ind w:left="426"/>
        <w:rPr>
          <w:rFonts w:ascii="Chalkboard SE Regular" w:hAnsi="Chalkboard SE Regular"/>
          <w:color w:val="548DD4" w:themeColor="text2" w:themeTint="99"/>
        </w:rPr>
      </w:pPr>
      <w:r>
        <w:rPr>
          <w:rFonts w:ascii="Chalkboard SE Regular" w:hAnsi="Chalkboard SE Regular"/>
          <w:color w:val="548DD4" w:themeColor="text2" w:themeTint="99"/>
        </w:rPr>
        <w:t>Bloom’s taxonomy</w:t>
      </w:r>
    </w:p>
    <w:p w14:paraId="5619ACC1" w14:textId="77777777" w:rsidR="00731D9B" w:rsidRDefault="00687368" w:rsidP="00E337F9">
      <w:pPr>
        <w:pStyle w:val="NormalBoxed"/>
        <w:ind w:left="426"/>
        <w:rPr>
          <w:rFonts w:ascii="Chalkboard SE Regular" w:hAnsi="Chalkboard SE Regular"/>
          <w:color w:val="548DD4" w:themeColor="text2" w:themeTint="99"/>
        </w:rPr>
      </w:pPr>
      <w:r>
        <w:rPr>
          <w:rFonts w:ascii="Chalkboard SE Regular" w:hAnsi="Chalkboard SE Regular"/>
          <w:color w:val="548DD4" w:themeColor="text2" w:themeTint="99"/>
        </w:rPr>
        <w:t xml:space="preserve">Piaget –assimilation, accommodation </w:t>
      </w:r>
    </w:p>
    <w:p w14:paraId="490C8EC4" w14:textId="6A328E81" w:rsidR="00687368" w:rsidRDefault="00731D9B" w:rsidP="00E337F9">
      <w:pPr>
        <w:pStyle w:val="NormalBoxed"/>
        <w:ind w:left="426"/>
        <w:rPr>
          <w:rStyle w:val="IntenseReference"/>
        </w:rPr>
      </w:pPr>
      <w:r>
        <w:rPr>
          <w:rFonts w:ascii="Chalkboard SE Regular" w:hAnsi="Chalkboard SE Regular"/>
          <w:color w:val="548DD4" w:themeColor="text2" w:themeTint="99"/>
        </w:rPr>
        <w:t xml:space="preserve">Bruner’s </w:t>
      </w:r>
      <w:bookmarkStart w:id="0" w:name="_GoBack"/>
      <w:bookmarkEnd w:id="0"/>
      <w:r w:rsidR="00687368">
        <w:rPr>
          <w:rFonts w:ascii="Chalkboard SE Regular" w:hAnsi="Chalkboard SE Regular"/>
          <w:color w:val="548DD4" w:themeColor="text2" w:themeTint="99"/>
        </w:rPr>
        <w:t>scaffolding</w:t>
      </w:r>
    </w:p>
    <w:p w14:paraId="446AE321" w14:textId="77777777" w:rsidR="00E337F9" w:rsidRDefault="00E337F9" w:rsidP="00687368">
      <w:pPr>
        <w:pStyle w:val="NormalBoxed"/>
        <w:rPr>
          <w:rStyle w:val="IntenseReference"/>
        </w:rPr>
      </w:pPr>
    </w:p>
    <w:p w14:paraId="5D0B9E2C" w14:textId="77777777" w:rsidR="00E337F9" w:rsidRPr="00563C89" w:rsidRDefault="00E337F9" w:rsidP="00E337F9">
      <w:pPr>
        <w:pStyle w:val="NormalBoxed"/>
        <w:ind w:left="426"/>
        <w:rPr>
          <w:rStyle w:val="IntenseReference"/>
        </w:rPr>
      </w:pPr>
    </w:p>
    <w:p w14:paraId="5AA7569D" w14:textId="41F883DB" w:rsidR="00563C89" w:rsidRDefault="00563C89" w:rsidP="00E337F9">
      <w:pPr>
        <w:pStyle w:val="NormalBoxed"/>
        <w:ind w:left="426"/>
        <w:rPr>
          <w:rStyle w:val="IntenseReference"/>
        </w:rPr>
      </w:pPr>
      <w:r w:rsidRPr="00563C89">
        <w:rPr>
          <w:rStyle w:val="IntenseReference"/>
        </w:rPr>
        <w:t xml:space="preserve">Please construct 3-5 multiple-choice questions  </w:t>
      </w:r>
    </w:p>
    <w:p w14:paraId="4F8025C5" w14:textId="60B2AF36" w:rsidR="00563C89" w:rsidRPr="00563C89" w:rsidRDefault="00563C89" w:rsidP="00E337F9">
      <w:pPr>
        <w:pStyle w:val="NormalBoxed"/>
        <w:ind w:left="426"/>
        <w:rPr>
          <w:rStyle w:val="IntenseReference"/>
          <w:b w:val="0"/>
          <w:u w:val="none"/>
        </w:rPr>
      </w:pPr>
      <w:r w:rsidRPr="00563C89">
        <w:rPr>
          <w:rStyle w:val="IntenseReference"/>
          <w:b w:val="0"/>
          <w:u w:val="none"/>
        </w:rPr>
        <w:t>Try to construct the questions at a variety of Bloom’s levels.</w:t>
      </w:r>
    </w:p>
    <w:p w14:paraId="14CB42B6" w14:textId="77777777" w:rsidR="00650C58" w:rsidRDefault="00650C58" w:rsidP="009373D8">
      <w:pPr>
        <w:pStyle w:val="NormalBoxed"/>
      </w:pPr>
    </w:p>
    <w:p w14:paraId="79F45799" w14:textId="1DDD34ED" w:rsidR="00687368" w:rsidRPr="00687368" w:rsidRDefault="00687368" w:rsidP="00687368">
      <w:pPr>
        <w:ind w:left="426"/>
        <w:rPr>
          <w:rFonts w:ascii="Chalkboard SE Regular" w:hAnsi="Chalkboard SE Regular"/>
          <w:color w:val="548DD4" w:themeColor="text2" w:themeTint="99"/>
        </w:rPr>
      </w:pPr>
      <w:r w:rsidRPr="00687368">
        <w:rPr>
          <w:rFonts w:ascii="Chalkboard SE Regular" w:hAnsi="Chalkboard SE Regular"/>
          <w:color w:val="548DD4" w:themeColor="text2" w:themeTint="99"/>
        </w:rPr>
        <w:t xml:space="preserve">A student has come to your office hours because he received a low grade on his last assignment. The student claims that since there is ambiguity and uncertainty around the subject matter, your marking is therefore very subjective and that his opinion needs to be considered as valid as yours. </w:t>
      </w:r>
    </w:p>
    <w:p w14:paraId="2DD18065" w14:textId="77777777" w:rsidR="00687368" w:rsidRPr="00687368" w:rsidRDefault="00687368" w:rsidP="00687368">
      <w:pPr>
        <w:ind w:left="426"/>
        <w:rPr>
          <w:rFonts w:ascii="Chalkboard SE Regular" w:hAnsi="Chalkboard SE Regular"/>
          <w:color w:val="548DD4" w:themeColor="text2" w:themeTint="99"/>
        </w:rPr>
      </w:pPr>
    </w:p>
    <w:p w14:paraId="59377E2D" w14:textId="77777777" w:rsidR="00687368" w:rsidRPr="00687368" w:rsidRDefault="00687368" w:rsidP="00687368">
      <w:pPr>
        <w:ind w:left="426"/>
        <w:rPr>
          <w:rFonts w:ascii="Chalkboard SE Regular" w:hAnsi="Chalkboard SE Regular"/>
          <w:color w:val="548DD4" w:themeColor="text2" w:themeTint="99"/>
        </w:rPr>
      </w:pPr>
      <w:r w:rsidRPr="00687368">
        <w:rPr>
          <w:rFonts w:ascii="Chalkboard SE Regular" w:hAnsi="Chalkboard SE Regular"/>
          <w:color w:val="548DD4" w:themeColor="text2" w:themeTint="99"/>
        </w:rPr>
        <w:t>What educational theory might you use to help structure a reasonable response to the student?</w:t>
      </w:r>
    </w:p>
    <w:p w14:paraId="40F07C3C" w14:textId="77777777" w:rsidR="00687368" w:rsidRPr="00687368" w:rsidRDefault="00687368" w:rsidP="00687368">
      <w:pPr>
        <w:ind w:left="426"/>
        <w:rPr>
          <w:rFonts w:ascii="Chalkboard SE Regular" w:hAnsi="Chalkboard SE Regular"/>
          <w:color w:val="548DD4" w:themeColor="text2" w:themeTint="99"/>
        </w:rPr>
      </w:pPr>
    </w:p>
    <w:p w14:paraId="64DAD53F" w14:textId="32E68625" w:rsidR="00687368" w:rsidRPr="00687368" w:rsidRDefault="00687368" w:rsidP="00687368">
      <w:pPr>
        <w:pStyle w:val="ListParagraph"/>
        <w:numPr>
          <w:ilvl w:val="0"/>
          <w:numId w:val="28"/>
        </w:numPr>
        <w:spacing w:line="240" w:lineRule="auto"/>
        <w:ind w:left="993" w:hanging="284"/>
        <w:jc w:val="left"/>
        <w:rPr>
          <w:rFonts w:ascii="Chalkboard SE Regular" w:hAnsi="Chalkboard SE Regular"/>
          <w:color w:val="548DD4" w:themeColor="text2" w:themeTint="99"/>
        </w:rPr>
      </w:pPr>
      <w:proofErr w:type="spellStart"/>
      <w:r w:rsidRPr="00687368">
        <w:rPr>
          <w:rFonts w:ascii="Chalkboard SE Regular" w:hAnsi="Chalkboard SE Regular"/>
          <w:color w:val="548DD4" w:themeColor="text2" w:themeTint="99"/>
        </w:rPr>
        <w:t>Vygotsky’s</w:t>
      </w:r>
      <w:proofErr w:type="spellEnd"/>
      <w:r w:rsidRPr="00687368">
        <w:rPr>
          <w:rFonts w:ascii="Chalkboard SE Regular" w:hAnsi="Chalkboard SE Regular"/>
          <w:color w:val="548DD4" w:themeColor="text2" w:themeTint="99"/>
        </w:rPr>
        <w:t xml:space="preserve"> stages of intellectual development</w:t>
      </w:r>
    </w:p>
    <w:p w14:paraId="3A33CEB8" w14:textId="77777777" w:rsidR="00687368" w:rsidRPr="00687368" w:rsidRDefault="00687368" w:rsidP="00687368">
      <w:pPr>
        <w:pStyle w:val="ListParagraph"/>
        <w:numPr>
          <w:ilvl w:val="0"/>
          <w:numId w:val="28"/>
        </w:numPr>
        <w:spacing w:line="240" w:lineRule="auto"/>
        <w:ind w:left="993" w:hanging="28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Perry’s frame work of cognitive development</w:t>
      </w:r>
    </w:p>
    <w:p w14:paraId="708E33D8" w14:textId="77777777" w:rsidR="00687368" w:rsidRPr="00687368" w:rsidRDefault="00687368" w:rsidP="00687368">
      <w:pPr>
        <w:pStyle w:val="ListParagraph"/>
        <w:numPr>
          <w:ilvl w:val="0"/>
          <w:numId w:val="28"/>
        </w:numPr>
        <w:spacing w:line="240" w:lineRule="auto"/>
        <w:ind w:left="993" w:hanging="28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Piaget’s scaffolding and fading</w:t>
      </w:r>
    </w:p>
    <w:p w14:paraId="1A67DEDB" w14:textId="77777777" w:rsidR="00687368" w:rsidRPr="00687368" w:rsidRDefault="00687368" w:rsidP="00687368">
      <w:pPr>
        <w:pStyle w:val="ListParagraph"/>
        <w:numPr>
          <w:ilvl w:val="0"/>
          <w:numId w:val="28"/>
        </w:numPr>
        <w:spacing w:line="240" w:lineRule="auto"/>
        <w:ind w:left="993" w:hanging="28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Bloom’s taxonomy of cognitive development</w:t>
      </w:r>
    </w:p>
    <w:p w14:paraId="271C3995" w14:textId="77777777" w:rsidR="00687368" w:rsidRPr="00687368" w:rsidRDefault="00687368" w:rsidP="00687368">
      <w:pPr>
        <w:ind w:left="426"/>
        <w:rPr>
          <w:rFonts w:ascii="Chalkboard SE Regular" w:hAnsi="Chalkboard SE Regular"/>
          <w:color w:val="548DD4" w:themeColor="text2" w:themeTint="99"/>
        </w:rPr>
      </w:pPr>
    </w:p>
    <w:p w14:paraId="00D9D7A8" w14:textId="77777777" w:rsidR="00687368" w:rsidRPr="00687368" w:rsidRDefault="00687368" w:rsidP="00687368">
      <w:pPr>
        <w:ind w:left="426"/>
        <w:rPr>
          <w:rFonts w:ascii="Chalkboard SE Regular" w:hAnsi="Chalkboard SE Regular"/>
          <w:color w:val="548DD4" w:themeColor="text2" w:themeTint="99"/>
        </w:rPr>
      </w:pPr>
    </w:p>
    <w:p w14:paraId="2E576BE9" w14:textId="4B7A1FA1" w:rsidR="00687368" w:rsidRPr="00687368" w:rsidRDefault="00687368" w:rsidP="00687368">
      <w:pPr>
        <w:ind w:left="426"/>
        <w:rPr>
          <w:rFonts w:ascii="Chalkboard SE Regular" w:hAnsi="Chalkboard SE Regular"/>
          <w:color w:val="548DD4" w:themeColor="text2" w:themeTint="99"/>
        </w:rPr>
      </w:pPr>
      <w:r w:rsidRPr="00687368">
        <w:rPr>
          <w:rFonts w:ascii="Chalkboard SE Regular" w:hAnsi="Chalkboard SE Regular"/>
          <w:color w:val="548DD4" w:themeColor="text2" w:themeTint="99"/>
        </w:rPr>
        <w:t>You have been using Team-Based Learning in your first year physics seminar for a couple of years. You have begun to notice that some teams don’t deeply discuss their decision rationales often get stuck part way through the problem and as a result don’t do well in the full class discussion. In contrast, teams with more animated and in-depth conversations often successfully complete the problem or at least proceed further into the problems before getting stuck, and they most often do better in whole class discussions. In the successful teams, it seems like the students are helping each other progress, with students helping each other work out a deeper understanding.</w:t>
      </w:r>
    </w:p>
    <w:p w14:paraId="6AD3A8BA" w14:textId="77777777" w:rsidR="00687368" w:rsidRPr="00687368" w:rsidRDefault="00687368" w:rsidP="00687368">
      <w:pPr>
        <w:ind w:left="426"/>
        <w:rPr>
          <w:rFonts w:ascii="Chalkboard SE Regular" w:hAnsi="Chalkboard SE Regular"/>
          <w:color w:val="548DD4" w:themeColor="text2" w:themeTint="99"/>
        </w:rPr>
      </w:pPr>
    </w:p>
    <w:p w14:paraId="54FCD4AA" w14:textId="77777777" w:rsidR="00687368" w:rsidRPr="00687368" w:rsidRDefault="00687368" w:rsidP="00687368">
      <w:pPr>
        <w:ind w:left="426"/>
        <w:rPr>
          <w:rFonts w:ascii="Chalkboard SE Regular" w:hAnsi="Chalkboard SE Regular"/>
          <w:color w:val="548DD4" w:themeColor="text2" w:themeTint="99"/>
        </w:rPr>
      </w:pPr>
      <w:r w:rsidRPr="00687368">
        <w:rPr>
          <w:rFonts w:ascii="Chalkboard SE Regular" w:hAnsi="Chalkboard SE Regular"/>
          <w:color w:val="548DD4" w:themeColor="text2" w:themeTint="99"/>
        </w:rPr>
        <w:t>This process of learners aiding each other’s progress is best described by what educational theory.</w:t>
      </w:r>
    </w:p>
    <w:p w14:paraId="02776995" w14:textId="77777777" w:rsidR="00687368" w:rsidRPr="00687368" w:rsidRDefault="00687368" w:rsidP="00687368">
      <w:pPr>
        <w:ind w:left="426"/>
        <w:rPr>
          <w:rFonts w:ascii="Chalkboard SE Regular" w:hAnsi="Chalkboard SE Regular"/>
          <w:color w:val="548DD4" w:themeColor="text2" w:themeTint="99"/>
        </w:rPr>
      </w:pPr>
    </w:p>
    <w:p w14:paraId="3A1A3B37" w14:textId="77777777" w:rsidR="00687368" w:rsidRPr="00687368" w:rsidRDefault="00687368" w:rsidP="00687368">
      <w:pPr>
        <w:pStyle w:val="ListParagraph"/>
        <w:numPr>
          <w:ilvl w:val="0"/>
          <w:numId w:val="29"/>
        </w:numPr>
        <w:spacing w:line="240" w:lineRule="auto"/>
        <w:ind w:left="113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lastRenderedPageBreak/>
        <w:t xml:space="preserve">Piaget’s Assimilation/Accommodation Process </w:t>
      </w:r>
    </w:p>
    <w:p w14:paraId="1B5E8EC4" w14:textId="77777777" w:rsidR="00687368" w:rsidRPr="00687368" w:rsidRDefault="00687368" w:rsidP="00687368">
      <w:pPr>
        <w:pStyle w:val="ListParagraph"/>
        <w:numPr>
          <w:ilvl w:val="0"/>
          <w:numId w:val="29"/>
        </w:numPr>
        <w:spacing w:line="240" w:lineRule="auto"/>
        <w:ind w:left="113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 xml:space="preserve"> </w:t>
      </w:r>
      <w:proofErr w:type="spellStart"/>
      <w:r w:rsidRPr="00687368">
        <w:rPr>
          <w:rFonts w:ascii="Chalkboard SE Regular" w:hAnsi="Chalkboard SE Regular"/>
          <w:color w:val="548DD4" w:themeColor="text2" w:themeTint="99"/>
        </w:rPr>
        <w:t>Vygotsky’s</w:t>
      </w:r>
      <w:proofErr w:type="spellEnd"/>
      <w:r w:rsidRPr="00687368">
        <w:rPr>
          <w:rFonts w:ascii="Chalkboard SE Regular" w:hAnsi="Chalkboard SE Regular"/>
          <w:color w:val="548DD4" w:themeColor="text2" w:themeTint="99"/>
        </w:rPr>
        <w:t xml:space="preserve"> Zone of Proximal Development</w:t>
      </w:r>
    </w:p>
    <w:p w14:paraId="1597C142" w14:textId="77777777" w:rsidR="00687368" w:rsidRPr="00687368" w:rsidRDefault="00687368" w:rsidP="00687368">
      <w:pPr>
        <w:pStyle w:val="ListParagraph"/>
        <w:numPr>
          <w:ilvl w:val="0"/>
          <w:numId w:val="29"/>
        </w:numPr>
        <w:spacing w:line="240" w:lineRule="auto"/>
        <w:ind w:left="113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Perry’s frame work of Cognitive Development</w:t>
      </w:r>
    </w:p>
    <w:p w14:paraId="79DDC276" w14:textId="77777777" w:rsidR="00687368" w:rsidRPr="00687368" w:rsidRDefault="00687368" w:rsidP="00687368">
      <w:pPr>
        <w:pStyle w:val="ListParagraph"/>
        <w:numPr>
          <w:ilvl w:val="0"/>
          <w:numId w:val="29"/>
        </w:numPr>
        <w:spacing w:line="240" w:lineRule="auto"/>
        <w:ind w:left="1134"/>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Bloom’s taxonomy of Cognitive Development</w:t>
      </w:r>
    </w:p>
    <w:p w14:paraId="33221ED3" w14:textId="77777777" w:rsidR="00687368" w:rsidRPr="00687368" w:rsidRDefault="00687368" w:rsidP="00687368">
      <w:pPr>
        <w:spacing w:line="240" w:lineRule="auto"/>
        <w:ind w:left="426"/>
        <w:jc w:val="left"/>
        <w:rPr>
          <w:rFonts w:ascii="Chalkboard SE Regular" w:hAnsi="Chalkboard SE Regular"/>
          <w:color w:val="548DD4" w:themeColor="text2" w:themeTint="99"/>
        </w:rPr>
      </w:pPr>
    </w:p>
    <w:p w14:paraId="74D15516" w14:textId="77777777" w:rsidR="00687368" w:rsidRPr="00687368" w:rsidRDefault="00687368" w:rsidP="00687368">
      <w:pPr>
        <w:ind w:left="426"/>
        <w:rPr>
          <w:rFonts w:ascii="Chalkboard SE Regular" w:hAnsi="Chalkboard SE Regular"/>
          <w:color w:val="548DD4" w:themeColor="text2" w:themeTint="99"/>
        </w:rPr>
      </w:pPr>
      <w:r w:rsidRPr="00687368">
        <w:rPr>
          <w:rFonts w:ascii="Chalkboard SE Regular" w:hAnsi="Chalkboard SE Regular"/>
          <w:color w:val="548DD4" w:themeColor="text2" w:themeTint="99"/>
        </w:rPr>
        <w:t>You have been using active learning in your 3</w:t>
      </w:r>
      <w:r w:rsidRPr="00687368">
        <w:rPr>
          <w:rFonts w:ascii="Chalkboard SE Regular" w:hAnsi="Chalkboard SE Regular"/>
          <w:color w:val="548DD4" w:themeColor="text2" w:themeTint="99"/>
          <w:vertAlign w:val="superscript"/>
        </w:rPr>
        <w:t>rd</w:t>
      </w:r>
      <w:r w:rsidRPr="00687368">
        <w:rPr>
          <w:rFonts w:ascii="Chalkboard SE Regular" w:hAnsi="Chalkboard SE Regular"/>
          <w:color w:val="548DD4" w:themeColor="text2" w:themeTint="99"/>
        </w:rPr>
        <w:t xml:space="preserve"> year Psychiatric Nursing course. During the application activities, you have been listening to the intra-team discussions (as teams make their decisions and build their supporting rationale before full class reporting). You have noticed that the discussion often starts with very black and white pronouncements about the right answer, then discussion of other views and contrary evidence and finally commitment to a reasonable decision, supported by reasonable evidence. The progression of this conversation is very similar to what educational theory?</w:t>
      </w:r>
    </w:p>
    <w:p w14:paraId="1DBA22A2" w14:textId="77777777" w:rsidR="00687368" w:rsidRPr="00687368" w:rsidRDefault="00687368" w:rsidP="00687368">
      <w:pPr>
        <w:ind w:left="426"/>
        <w:rPr>
          <w:rFonts w:ascii="Chalkboard SE Regular" w:hAnsi="Chalkboard SE Regular"/>
          <w:color w:val="548DD4" w:themeColor="text2" w:themeTint="99"/>
        </w:rPr>
      </w:pPr>
    </w:p>
    <w:p w14:paraId="08CF5B39" w14:textId="77777777" w:rsidR="00687368" w:rsidRPr="00687368" w:rsidRDefault="00687368" w:rsidP="00687368">
      <w:pPr>
        <w:pStyle w:val="ListParagraph"/>
        <w:numPr>
          <w:ilvl w:val="0"/>
          <w:numId w:val="30"/>
        </w:numPr>
        <w:spacing w:line="240" w:lineRule="auto"/>
        <w:ind w:left="993"/>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Perry’s frame work of Cognitive Development</w:t>
      </w:r>
    </w:p>
    <w:p w14:paraId="15EB604B" w14:textId="77777777" w:rsidR="00687368" w:rsidRPr="00687368" w:rsidRDefault="00687368" w:rsidP="00687368">
      <w:pPr>
        <w:pStyle w:val="ListParagraph"/>
        <w:numPr>
          <w:ilvl w:val="0"/>
          <w:numId w:val="30"/>
        </w:numPr>
        <w:spacing w:line="240" w:lineRule="auto"/>
        <w:ind w:left="993"/>
        <w:jc w:val="left"/>
        <w:rPr>
          <w:rFonts w:ascii="Chalkboard SE Regular" w:hAnsi="Chalkboard SE Regular"/>
          <w:color w:val="548DD4" w:themeColor="text2" w:themeTint="99"/>
        </w:rPr>
      </w:pPr>
      <w:proofErr w:type="spellStart"/>
      <w:r w:rsidRPr="00687368">
        <w:rPr>
          <w:rFonts w:ascii="Chalkboard SE Regular" w:hAnsi="Chalkboard SE Regular"/>
          <w:color w:val="548DD4" w:themeColor="text2" w:themeTint="99"/>
        </w:rPr>
        <w:t>Vygotsky’s</w:t>
      </w:r>
      <w:proofErr w:type="spellEnd"/>
      <w:r w:rsidRPr="00687368">
        <w:rPr>
          <w:rFonts w:ascii="Chalkboard SE Regular" w:hAnsi="Chalkboard SE Regular"/>
          <w:color w:val="548DD4" w:themeColor="text2" w:themeTint="99"/>
        </w:rPr>
        <w:t xml:space="preserve"> Zone of Proximal Development</w:t>
      </w:r>
    </w:p>
    <w:p w14:paraId="2CDB10F4" w14:textId="77777777" w:rsidR="00687368" w:rsidRPr="00687368" w:rsidRDefault="00687368" w:rsidP="00687368">
      <w:pPr>
        <w:pStyle w:val="ListParagraph"/>
        <w:numPr>
          <w:ilvl w:val="0"/>
          <w:numId w:val="30"/>
        </w:numPr>
        <w:spacing w:line="240" w:lineRule="auto"/>
        <w:ind w:left="993"/>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Piaget’s Assimilation/Accommodation Process</w:t>
      </w:r>
    </w:p>
    <w:p w14:paraId="0B0C4795" w14:textId="6B262F03" w:rsidR="00650C58" w:rsidRPr="00687368" w:rsidRDefault="00687368" w:rsidP="00687368">
      <w:pPr>
        <w:pStyle w:val="ListParagraph"/>
        <w:numPr>
          <w:ilvl w:val="0"/>
          <w:numId w:val="30"/>
        </w:numPr>
        <w:spacing w:line="240" w:lineRule="auto"/>
        <w:ind w:left="993"/>
        <w:jc w:val="left"/>
        <w:rPr>
          <w:rFonts w:ascii="Chalkboard SE Regular" w:hAnsi="Chalkboard SE Regular"/>
          <w:color w:val="548DD4" w:themeColor="text2" w:themeTint="99"/>
        </w:rPr>
      </w:pPr>
      <w:r w:rsidRPr="00687368">
        <w:rPr>
          <w:rFonts w:ascii="Chalkboard SE Regular" w:hAnsi="Chalkboard SE Regular"/>
          <w:color w:val="548DD4" w:themeColor="text2" w:themeTint="99"/>
        </w:rPr>
        <w:t>Bloom’s taxonomy of Cognitive Development</w:t>
      </w:r>
    </w:p>
    <w:sectPr w:rsidR="00650C58" w:rsidRPr="00687368" w:rsidSect="009373D8">
      <w:footerReference w:type="default" r:id="rId9"/>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97245F" w:rsidRDefault="0097245F">
      <w:pPr>
        <w:spacing w:line="240" w:lineRule="auto"/>
      </w:pPr>
      <w:r>
        <w:separator/>
      </w:r>
    </w:p>
  </w:endnote>
  <w:endnote w:type="continuationSeparator" w:id="0">
    <w:p w14:paraId="13F5ADE0" w14:textId="77777777" w:rsidR="0097245F" w:rsidRDefault="00972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Chalkboard SE Regular">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97245F" w:rsidRPr="006C22EB" w:rsidRDefault="0097245F"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97245F" w:rsidRDefault="0097245F">
      <w:pPr>
        <w:spacing w:line="240" w:lineRule="auto"/>
      </w:pPr>
      <w:r>
        <w:separator/>
      </w:r>
    </w:p>
  </w:footnote>
  <w:footnote w:type="continuationSeparator" w:id="0">
    <w:p w14:paraId="60DB40B2" w14:textId="77777777" w:rsidR="0097245F" w:rsidRDefault="0097245F">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A14539A"/>
    <w:multiLevelType w:val="hybridMultilevel"/>
    <w:tmpl w:val="F3083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7">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8">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3">
    <w:nsid w:val="2B20363B"/>
    <w:multiLevelType w:val="hybridMultilevel"/>
    <w:tmpl w:val="47608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7">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1">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534676B9"/>
    <w:multiLevelType w:val="hybridMultilevel"/>
    <w:tmpl w:val="AFA874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59205FF5"/>
    <w:multiLevelType w:val="hybridMultilevel"/>
    <w:tmpl w:val="F882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8">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9">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7"/>
  </w:num>
  <w:num w:numId="2">
    <w:abstractNumId w:val="20"/>
  </w:num>
  <w:num w:numId="3">
    <w:abstractNumId w:val="10"/>
  </w:num>
  <w:num w:numId="4">
    <w:abstractNumId w:val="6"/>
  </w:num>
  <w:num w:numId="5">
    <w:abstractNumId w:val="16"/>
  </w:num>
  <w:num w:numId="6">
    <w:abstractNumId w:val="25"/>
  </w:num>
  <w:num w:numId="7">
    <w:abstractNumId w:val="8"/>
  </w:num>
  <w:num w:numId="8">
    <w:abstractNumId w:val="12"/>
  </w:num>
  <w:num w:numId="9">
    <w:abstractNumId w:val="28"/>
  </w:num>
  <w:num w:numId="10">
    <w:abstractNumId w:val="29"/>
  </w:num>
  <w:num w:numId="11">
    <w:abstractNumId w:val="9"/>
  </w:num>
  <w:num w:numId="12">
    <w:abstractNumId w:val="27"/>
  </w:num>
  <w:num w:numId="13">
    <w:abstractNumId w:val="3"/>
  </w:num>
  <w:num w:numId="14">
    <w:abstractNumId w:val="15"/>
  </w:num>
  <w:num w:numId="15">
    <w:abstractNumId w:val="18"/>
  </w:num>
  <w:num w:numId="16">
    <w:abstractNumId w:val="23"/>
  </w:num>
  <w:num w:numId="17">
    <w:abstractNumId w:val="5"/>
  </w:num>
  <w:num w:numId="18">
    <w:abstractNumId w:val="14"/>
  </w:num>
  <w:num w:numId="19">
    <w:abstractNumId w:val="21"/>
  </w:num>
  <w:num w:numId="20">
    <w:abstractNumId w:val="22"/>
  </w:num>
  <w:num w:numId="21">
    <w:abstractNumId w:val="11"/>
  </w:num>
  <w:num w:numId="22">
    <w:abstractNumId w:val="19"/>
  </w:num>
  <w:num w:numId="23">
    <w:abstractNumId w:val="17"/>
  </w:num>
  <w:num w:numId="24">
    <w:abstractNumId w:val="0"/>
  </w:num>
  <w:num w:numId="25">
    <w:abstractNumId w:val="1"/>
  </w:num>
  <w:num w:numId="26">
    <w:abstractNumId w:val="2"/>
  </w:num>
  <w:num w:numId="27">
    <w:abstractNumId w:val="26"/>
  </w:num>
  <w:num w:numId="28">
    <w:abstractNumId w:val="24"/>
  </w:num>
  <w:num w:numId="29">
    <w:abstractNumId w:val="4"/>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56D30"/>
    <w:rsid w:val="00060FAA"/>
    <w:rsid w:val="00090E17"/>
    <w:rsid w:val="00111B4A"/>
    <w:rsid w:val="00175D88"/>
    <w:rsid w:val="001B5C6E"/>
    <w:rsid w:val="001D4EF8"/>
    <w:rsid w:val="00202C32"/>
    <w:rsid w:val="00206E6F"/>
    <w:rsid w:val="00237684"/>
    <w:rsid w:val="002769D4"/>
    <w:rsid w:val="002A2312"/>
    <w:rsid w:val="002C16ED"/>
    <w:rsid w:val="002D0676"/>
    <w:rsid w:val="002E4BD1"/>
    <w:rsid w:val="002F2457"/>
    <w:rsid w:val="002F4355"/>
    <w:rsid w:val="002F5340"/>
    <w:rsid w:val="002F56DF"/>
    <w:rsid w:val="003376CA"/>
    <w:rsid w:val="003434D7"/>
    <w:rsid w:val="00366EA6"/>
    <w:rsid w:val="00376316"/>
    <w:rsid w:val="003E5596"/>
    <w:rsid w:val="004027B5"/>
    <w:rsid w:val="0040517B"/>
    <w:rsid w:val="004174CE"/>
    <w:rsid w:val="00460198"/>
    <w:rsid w:val="004B3084"/>
    <w:rsid w:val="004E1EDD"/>
    <w:rsid w:val="004E55D0"/>
    <w:rsid w:val="004F2483"/>
    <w:rsid w:val="00511F57"/>
    <w:rsid w:val="00515986"/>
    <w:rsid w:val="00532DF2"/>
    <w:rsid w:val="00563C89"/>
    <w:rsid w:val="00571D0C"/>
    <w:rsid w:val="00597BAE"/>
    <w:rsid w:val="005C0F63"/>
    <w:rsid w:val="005C39B5"/>
    <w:rsid w:val="005C7A17"/>
    <w:rsid w:val="005F1E82"/>
    <w:rsid w:val="005F3984"/>
    <w:rsid w:val="00606F51"/>
    <w:rsid w:val="00613C05"/>
    <w:rsid w:val="00620345"/>
    <w:rsid w:val="00627DA2"/>
    <w:rsid w:val="006340D6"/>
    <w:rsid w:val="00650C58"/>
    <w:rsid w:val="00675EAF"/>
    <w:rsid w:val="00687368"/>
    <w:rsid w:val="006A3E05"/>
    <w:rsid w:val="006C22EB"/>
    <w:rsid w:val="0072252A"/>
    <w:rsid w:val="00731D9B"/>
    <w:rsid w:val="00735603"/>
    <w:rsid w:val="00783F07"/>
    <w:rsid w:val="007B4403"/>
    <w:rsid w:val="007D0501"/>
    <w:rsid w:val="00801BD6"/>
    <w:rsid w:val="00847B6F"/>
    <w:rsid w:val="00884AAC"/>
    <w:rsid w:val="00897FDB"/>
    <w:rsid w:val="008A1E42"/>
    <w:rsid w:val="008A3665"/>
    <w:rsid w:val="008C75C4"/>
    <w:rsid w:val="008F059F"/>
    <w:rsid w:val="008F65F5"/>
    <w:rsid w:val="00914164"/>
    <w:rsid w:val="009373D8"/>
    <w:rsid w:val="0097245F"/>
    <w:rsid w:val="009919BD"/>
    <w:rsid w:val="00AC1229"/>
    <w:rsid w:val="00AE0347"/>
    <w:rsid w:val="00B32765"/>
    <w:rsid w:val="00B4592D"/>
    <w:rsid w:val="00B53A74"/>
    <w:rsid w:val="00B579F9"/>
    <w:rsid w:val="00B955FB"/>
    <w:rsid w:val="00BB054A"/>
    <w:rsid w:val="00BC6BF2"/>
    <w:rsid w:val="00BD1390"/>
    <w:rsid w:val="00BD5829"/>
    <w:rsid w:val="00BF418B"/>
    <w:rsid w:val="00C12E94"/>
    <w:rsid w:val="00C2512F"/>
    <w:rsid w:val="00C25B17"/>
    <w:rsid w:val="00C33676"/>
    <w:rsid w:val="00C4024C"/>
    <w:rsid w:val="00C60467"/>
    <w:rsid w:val="00C74D18"/>
    <w:rsid w:val="00C7571C"/>
    <w:rsid w:val="00C76D8A"/>
    <w:rsid w:val="00C83D3D"/>
    <w:rsid w:val="00C866DC"/>
    <w:rsid w:val="00CE2D38"/>
    <w:rsid w:val="00CF1BAC"/>
    <w:rsid w:val="00D03B95"/>
    <w:rsid w:val="00D244D2"/>
    <w:rsid w:val="00D6285A"/>
    <w:rsid w:val="00D74291"/>
    <w:rsid w:val="00D909C6"/>
    <w:rsid w:val="00E07901"/>
    <w:rsid w:val="00E07E31"/>
    <w:rsid w:val="00E208E3"/>
    <w:rsid w:val="00E337F9"/>
    <w:rsid w:val="00E358F2"/>
    <w:rsid w:val="00E373ED"/>
    <w:rsid w:val="00E53DAE"/>
    <w:rsid w:val="00E72D2D"/>
    <w:rsid w:val="00E9681A"/>
    <w:rsid w:val="00EE78B7"/>
    <w:rsid w:val="00F01A1E"/>
    <w:rsid w:val="00F11466"/>
    <w:rsid w:val="00F117D9"/>
    <w:rsid w:val="00F142A2"/>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C1E1A-5333-B740-82B4-0AD22EC5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5249</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James Sibley</cp:lastModifiedBy>
  <cp:revision>2</cp:revision>
  <cp:lastPrinted>2015-09-10T23:52:00Z</cp:lastPrinted>
  <dcterms:created xsi:type="dcterms:W3CDTF">2016-04-19T20:55:00Z</dcterms:created>
  <dcterms:modified xsi:type="dcterms:W3CDTF">2016-04-19T20:55:00Z</dcterms:modified>
</cp:coreProperties>
</file>